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B5" w:rsidRPr="005567C4" w:rsidRDefault="00E92FD4" w:rsidP="005567C4">
      <w:pPr>
        <w:jc w:val="center"/>
        <w:rPr>
          <w:rFonts w:hint="eastAsia"/>
          <w:b/>
          <w:u w:val="single"/>
        </w:rPr>
      </w:pPr>
      <w:r w:rsidRPr="005567C4">
        <w:rPr>
          <w:rFonts w:hint="eastAsia"/>
          <w:b/>
          <w:u w:val="single"/>
        </w:rPr>
        <w:t xml:space="preserve">LCL </w:t>
      </w:r>
      <w:r w:rsidRPr="005567C4">
        <w:rPr>
          <w:b/>
          <w:u w:val="single"/>
        </w:rPr>
        <w:t>–</w:t>
      </w:r>
      <w:r w:rsidRPr="005567C4">
        <w:rPr>
          <w:rFonts w:hint="eastAsia"/>
          <w:b/>
          <w:u w:val="single"/>
        </w:rPr>
        <w:t xml:space="preserve"> SOLAS- Verified Gross Mass </w:t>
      </w:r>
      <w:r w:rsidRPr="005567C4">
        <w:rPr>
          <w:rFonts w:hint="eastAsia"/>
          <w:b/>
          <w:u w:val="single"/>
        </w:rPr>
        <w:t>（</w:t>
      </w:r>
      <w:r w:rsidRPr="005567C4">
        <w:rPr>
          <w:rFonts w:hint="eastAsia"/>
          <w:b/>
          <w:u w:val="single"/>
        </w:rPr>
        <w:t>VGM</w:t>
      </w:r>
      <w:r w:rsidRPr="005567C4">
        <w:rPr>
          <w:rFonts w:hint="eastAsia"/>
          <w:b/>
          <w:u w:val="single"/>
        </w:rPr>
        <w:t>）</w:t>
      </w:r>
      <w:r w:rsidRPr="005567C4">
        <w:rPr>
          <w:rFonts w:hint="eastAsia"/>
          <w:b/>
          <w:u w:val="single"/>
        </w:rPr>
        <w:t>Declaration</w:t>
      </w:r>
    </w:p>
    <w:p w:rsidR="00E92FD4" w:rsidRDefault="00E92FD4" w:rsidP="00A23FB5">
      <w:r>
        <w:t>In order to comply with the SOLAS regulation which was effective from 1</w:t>
      </w:r>
      <w:r w:rsidRPr="00E92FD4">
        <w:rPr>
          <w:vertAlign w:val="superscript"/>
        </w:rPr>
        <w:t>st</w:t>
      </w:r>
      <w:r>
        <w:t xml:space="preserve"> July, 2016, the exporters would like to make following declarations. </w:t>
      </w:r>
    </w:p>
    <w:tbl>
      <w:tblPr>
        <w:tblStyle w:val="TableGrid"/>
        <w:tblW w:w="0" w:type="auto"/>
        <w:tblLook w:val="04A0" w:firstRow="1" w:lastRow="0" w:firstColumn="1" w:lastColumn="0" w:noHBand="0" w:noVBand="1"/>
      </w:tblPr>
      <w:tblGrid>
        <w:gridCol w:w="4519"/>
        <w:gridCol w:w="4497"/>
      </w:tblGrid>
      <w:tr w:rsidR="00E92FD4" w:rsidTr="00E92FD4">
        <w:tc>
          <w:tcPr>
            <w:tcW w:w="4621" w:type="dxa"/>
          </w:tcPr>
          <w:p w:rsidR="00E92FD4" w:rsidRPr="005567C4" w:rsidRDefault="00E92FD4" w:rsidP="00E92FD4">
            <w:pPr>
              <w:jc w:val="center"/>
              <w:rPr>
                <w:b/>
              </w:rPr>
            </w:pPr>
            <w:r w:rsidRPr="005567C4">
              <w:rPr>
                <w:b/>
              </w:rPr>
              <w:t>Beyond Borders Express Booking Number:</w:t>
            </w:r>
          </w:p>
          <w:p w:rsidR="00E92FD4" w:rsidRDefault="00E92FD4" w:rsidP="00E92FD4">
            <w:pPr>
              <w:jc w:val="center"/>
            </w:pPr>
          </w:p>
        </w:tc>
        <w:tc>
          <w:tcPr>
            <w:tcW w:w="4621" w:type="dxa"/>
          </w:tcPr>
          <w:p w:rsidR="00E92FD4" w:rsidRDefault="00E92FD4" w:rsidP="00A23FB5"/>
        </w:tc>
      </w:tr>
    </w:tbl>
    <w:p w:rsidR="00E92FD4" w:rsidRDefault="00E92FD4" w:rsidP="00A23FB5"/>
    <w:tbl>
      <w:tblPr>
        <w:tblStyle w:val="TableGrid"/>
        <w:tblW w:w="0" w:type="auto"/>
        <w:tblLook w:val="04A0" w:firstRow="1" w:lastRow="0" w:firstColumn="1" w:lastColumn="0" w:noHBand="0" w:noVBand="1"/>
      </w:tblPr>
      <w:tblGrid>
        <w:gridCol w:w="1219"/>
        <w:gridCol w:w="1384"/>
        <w:gridCol w:w="2729"/>
        <w:gridCol w:w="1112"/>
        <w:gridCol w:w="1057"/>
        <w:gridCol w:w="1515"/>
      </w:tblGrid>
      <w:tr w:rsidR="00E92FD4" w:rsidTr="005567C4">
        <w:trPr>
          <w:trHeight w:val="1191"/>
        </w:trPr>
        <w:tc>
          <w:tcPr>
            <w:tcW w:w="1227" w:type="dxa"/>
          </w:tcPr>
          <w:p w:rsidR="00E92FD4" w:rsidRPr="005567C4" w:rsidRDefault="00E92FD4" w:rsidP="005567C4">
            <w:pPr>
              <w:jc w:val="center"/>
              <w:rPr>
                <w:rFonts w:hint="eastAsia"/>
                <w:b/>
              </w:rPr>
            </w:pPr>
            <w:r w:rsidRPr="005567C4">
              <w:rPr>
                <w:b/>
              </w:rPr>
              <w:t>Marks and Numbers</w:t>
            </w:r>
          </w:p>
        </w:tc>
        <w:tc>
          <w:tcPr>
            <w:tcW w:w="1401" w:type="dxa"/>
          </w:tcPr>
          <w:p w:rsidR="00E92FD4" w:rsidRPr="005567C4" w:rsidRDefault="00E92FD4" w:rsidP="005567C4">
            <w:pPr>
              <w:jc w:val="center"/>
              <w:rPr>
                <w:rFonts w:hint="eastAsia"/>
                <w:b/>
              </w:rPr>
            </w:pPr>
            <w:r w:rsidRPr="005567C4">
              <w:rPr>
                <w:b/>
              </w:rPr>
              <w:t>No. and Type of Packages</w:t>
            </w:r>
          </w:p>
        </w:tc>
        <w:tc>
          <w:tcPr>
            <w:tcW w:w="2802" w:type="dxa"/>
          </w:tcPr>
          <w:p w:rsidR="00E92FD4" w:rsidRPr="005567C4" w:rsidRDefault="00E92FD4" w:rsidP="005567C4">
            <w:pPr>
              <w:jc w:val="center"/>
              <w:rPr>
                <w:rFonts w:hint="eastAsia"/>
                <w:b/>
              </w:rPr>
            </w:pPr>
            <w:r w:rsidRPr="005567C4">
              <w:rPr>
                <w:b/>
              </w:rPr>
              <w:t>Description of goods</w:t>
            </w:r>
          </w:p>
        </w:tc>
        <w:tc>
          <w:tcPr>
            <w:tcW w:w="1121" w:type="dxa"/>
          </w:tcPr>
          <w:p w:rsidR="00E92FD4" w:rsidRPr="005567C4" w:rsidRDefault="00E92FD4" w:rsidP="005567C4">
            <w:pPr>
              <w:jc w:val="center"/>
              <w:rPr>
                <w:rFonts w:hint="eastAsia"/>
                <w:b/>
              </w:rPr>
            </w:pPr>
            <w:r w:rsidRPr="005567C4">
              <w:rPr>
                <w:b/>
              </w:rPr>
              <w:t xml:space="preserve">Verified Gross Mass </w:t>
            </w:r>
            <w:proofErr w:type="gramStart"/>
            <w:r w:rsidRPr="005567C4">
              <w:rPr>
                <w:b/>
              </w:rPr>
              <w:t>( VGM</w:t>
            </w:r>
            <w:proofErr w:type="gramEnd"/>
            <w:r w:rsidRPr="005567C4">
              <w:rPr>
                <w:b/>
              </w:rPr>
              <w:t>) *</w:t>
            </w:r>
          </w:p>
        </w:tc>
        <w:tc>
          <w:tcPr>
            <w:tcW w:w="1059" w:type="dxa"/>
          </w:tcPr>
          <w:p w:rsidR="00E92FD4" w:rsidRPr="005567C4" w:rsidRDefault="00E92FD4" w:rsidP="005567C4">
            <w:pPr>
              <w:jc w:val="center"/>
              <w:rPr>
                <w:b/>
              </w:rPr>
            </w:pPr>
            <w:r w:rsidRPr="005567C4">
              <w:rPr>
                <w:b/>
              </w:rPr>
              <w:t>VGM – Unit of Measure</w:t>
            </w:r>
          </w:p>
          <w:p w:rsidR="00E92FD4" w:rsidRPr="005567C4" w:rsidRDefault="00E92FD4" w:rsidP="005567C4">
            <w:pPr>
              <w:jc w:val="center"/>
              <w:rPr>
                <w:rFonts w:hint="eastAsia"/>
                <w:b/>
              </w:rPr>
            </w:pPr>
            <w:r w:rsidRPr="005567C4">
              <w:rPr>
                <w:b/>
              </w:rPr>
              <w:t>(</w:t>
            </w:r>
            <w:proofErr w:type="gramStart"/>
            <w:r w:rsidRPr="005567C4">
              <w:rPr>
                <w:b/>
              </w:rPr>
              <w:t>Kgs)  *</w:t>
            </w:r>
            <w:proofErr w:type="gramEnd"/>
          </w:p>
        </w:tc>
        <w:tc>
          <w:tcPr>
            <w:tcW w:w="1523" w:type="dxa"/>
          </w:tcPr>
          <w:p w:rsidR="00E92FD4" w:rsidRPr="005567C4" w:rsidRDefault="00E92FD4" w:rsidP="005567C4">
            <w:pPr>
              <w:jc w:val="center"/>
              <w:rPr>
                <w:b/>
              </w:rPr>
            </w:pPr>
            <w:r w:rsidRPr="005567C4">
              <w:rPr>
                <w:b/>
              </w:rPr>
              <w:t>Date of Weighing</w:t>
            </w:r>
          </w:p>
          <w:p w:rsidR="00E92FD4" w:rsidRPr="005567C4" w:rsidRDefault="005567C4" w:rsidP="005567C4">
            <w:pPr>
              <w:jc w:val="center"/>
              <w:rPr>
                <w:rFonts w:hint="eastAsia"/>
                <w:b/>
              </w:rPr>
            </w:pPr>
            <w:r w:rsidRPr="005567C4">
              <w:rPr>
                <w:b/>
              </w:rPr>
              <w:t>(</w:t>
            </w:r>
            <w:proofErr w:type="spellStart"/>
            <w:r w:rsidRPr="005567C4">
              <w:rPr>
                <w:b/>
              </w:rPr>
              <w:t>d</w:t>
            </w:r>
            <w:r w:rsidR="00E92FD4" w:rsidRPr="005567C4">
              <w:rPr>
                <w:b/>
              </w:rPr>
              <w:t>d</w:t>
            </w:r>
            <w:proofErr w:type="spellEnd"/>
            <w:r w:rsidR="00E92FD4" w:rsidRPr="005567C4">
              <w:rPr>
                <w:b/>
              </w:rPr>
              <w:t>/mm/</w:t>
            </w:r>
            <w:proofErr w:type="spellStart"/>
            <w:r w:rsidR="00E92FD4" w:rsidRPr="005567C4">
              <w:rPr>
                <w:b/>
              </w:rPr>
              <w:t>yy</w:t>
            </w:r>
            <w:proofErr w:type="spellEnd"/>
            <w:r w:rsidR="00E92FD4" w:rsidRPr="005567C4">
              <w:rPr>
                <w:b/>
              </w:rPr>
              <w:t>)</w:t>
            </w:r>
          </w:p>
        </w:tc>
      </w:tr>
      <w:tr w:rsidR="00E92FD4" w:rsidTr="005567C4">
        <w:trPr>
          <w:trHeight w:val="302"/>
        </w:trPr>
        <w:tc>
          <w:tcPr>
            <w:tcW w:w="1227" w:type="dxa"/>
          </w:tcPr>
          <w:p w:rsidR="00E92FD4" w:rsidRDefault="00E92FD4" w:rsidP="00A23FB5">
            <w:pPr>
              <w:rPr>
                <w:rFonts w:hint="eastAsia"/>
              </w:rPr>
            </w:pPr>
          </w:p>
        </w:tc>
        <w:tc>
          <w:tcPr>
            <w:tcW w:w="1401" w:type="dxa"/>
          </w:tcPr>
          <w:p w:rsidR="00E92FD4" w:rsidRDefault="00E92FD4" w:rsidP="00A23FB5">
            <w:pPr>
              <w:rPr>
                <w:rFonts w:hint="eastAsia"/>
              </w:rPr>
            </w:pPr>
          </w:p>
        </w:tc>
        <w:tc>
          <w:tcPr>
            <w:tcW w:w="2802" w:type="dxa"/>
          </w:tcPr>
          <w:p w:rsidR="00E92FD4" w:rsidRDefault="00E92FD4" w:rsidP="00A23FB5">
            <w:pPr>
              <w:rPr>
                <w:rFonts w:hint="eastAsia"/>
              </w:rPr>
            </w:pPr>
          </w:p>
        </w:tc>
        <w:tc>
          <w:tcPr>
            <w:tcW w:w="1121" w:type="dxa"/>
          </w:tcPr>
          <w:p w:rsidR="00E92FD4" w:rsidRDefault="00E92FD4" w:rsidP="00A23FB5">
            <w:pPr>
              <w:rPr>
                <w:rFonts w:hint="eastAsia"/>
              </w:rPr>
            </w:pPr>
          </w:p>
        </w:tc>
        <w:tc>
          <w:tcPr>
            <w:tcW w:w="1059" w:type="dxa"/>
          </w:tcPr>
          <w:p w:rsidR="00E92FD4" w:rsidRDefault="00E92FD4" w:rsidP="00A23FB5">
            <w:pPr>
              <w:rPr>
                <w:rFonts w:hint="eastAsia"/>
              </w:rPr>
            </w:pPr>
          </w:p>
        </w:tc>
        <w:tc>
          <w:tcPr>
            <w:tcW w:w="1523" w:type="dxa"/>
          </w:tcPr>
          <w:p w:rsidR="00E92FD4" w:rsidRDefault="00E92FD4" w:rsidP="00A23FB5">
            <w:pPr>
              <w:rPr>
                <w:rFonts w:hint="eastAsia"/>
              </w:rPr>
            </w:pPr>
          </w:p>
        </w:tc>
      </w:tr>
      <w:tr w:rsidR="00E92FD4" w:rsidTr="005567C4">
        <w:trPr>
          <w:trHeight w:val="285"/>
        </w:trPr>
        <w:tc>
          <w:tcPr>
            <w:tcW w:w="1227" w:type="dxa"/>
          </w:tcPr>
          <w:p w:rsidR="00E92FD4" w:rsidRDefault="00E92FD4" w:rsidP="00A23FB5">
            <w:pPr>
              <w:rPr>
                <w:rFonts w:hint="eastAsia"/>
              </w:rPr>
            </w:pPr>
          </w:p>
        </w:tc>
        <w:tc>
          <w:tcPr>
            <w:tcW w:w="1401" w:type="dxa"/>
          </w:tcPr>
          <w:p w:rsidR="00E92FD4" w:rsidRDefault="00E92FD4" w:rsidP="00A23FB5">
            <w:pPr>
              <w:rPr>
                <w:rFonts w:hint="eastAsia"/>
              </w:rPr>
            </w:pPr>
          </w:p>
        </w:tc>
        <w:tc>
          <w:tcPr>
            <w:tcW w:w="2802" w:type="dxa"/>
          </w:tcPr>
          <w:p w:rsidR="00E92FD4" w:rsidRDefault="00E92FD4" w:rsidP="00A23FB5">
            <w:pPr>
              <w:rPr>
                <w:rFonts w:hint="eastAsia"/>
              </w:rPr>
            </w:pPr>
          </w:p>
        </w:tc>
        <w:tc>
          <w:tcPr>
            <w:tcW w:w="1121" w:type="dxa"/>
          </w:tcPr>
          <w:p w:rsidR="00E92FD4" w:rsidRDefault="00E92FD4" w:rsidP="00A23FB5">
            <w:pPr>
              <w:rPr>
                <w:rFonts w:hint="eastAsia"/>
              </w:rPr>
            </w:pPr>
          </w:p>
        </w:tc>
        <w:tc>
          <w:tcPr>
            <w:tcW w:w="1059" w:type="dxa"/>
          </w:tcPr>
          <w:p w:rsidR="00E92FD4" w:rsidRDefault="00E92FD4" w:rsidP="00A23FB5">
            <w:pPr>
              <w:rPr>
                <w:rFonts w:hint="eastAsia"/>
              </w:rPr>
            </w:pPr>
          </w:p>
        </w:tc>
        <w:tc>
          <w:tcPr>
            <w:tcW w:w="1523" w:type="dxa"/>
          </w:tcPr>
          <w:p w:rsidR="00E92FD4" w:rsidRDefault="00E92FD4" w:rsidP="00A23FB5">
            <w:pPr>
              <w:rPr>
                <w:rFonts w:hint="eastAsia"/>
              </w:rPr>
            </w:pPr>
          </w:p>
        </w:tc>
      </w:tr>
      <w:tr w:rsidR="00E92FD4" w:rsidTr="005567C4">
        <w:trPr>
          <w:trHeight w:val="302"/>
        </w:trPr>
        <w:tc>
          <w:tcPr>
            <w:tcW w:w="1227" w:type="dxa"/>
          </w:tcPr>
          <w:p w:rsidR="00E92FD4" w:rsidRDefault="00E92FD4" w:rsidP="00A23FB5">
            <w:pPr>
              <w:rPr>
                <w:rFonts w:hint="eastAsia"/>
              </w:rPr>
            </w:pPr>
          </w:p>
        </w:tc>
        <w:tc>
          <w:tcPr>
            <w:tcW w:w="1401" w:type="dxa"/>
          </w:tcPr>
          <w:p w:rsidR="00E92FD4" w:rsidRDefault="00E92FD4" w:rsidP="00A23FB5">
            <w:pPr>
              <w:rPr>
                <w:rFonts w:hint="eastAsia"/>
              </w:rPr>
            </w:pPr>
          </w:p>
        </w:tc>
        <w:tc>
          <w:tcPr>
            <w:tcW w:w="2802" w:type="dxa"/>
          </w:tcPr>
          <w:p w:rsidR="00E92FD4" w:rsidRDefault="00E92FD4" w:rsidP="00A23FB5">
            <w:pPr>
              <w:rPr>
                <w:rFonts w:hint="eastAsia"/>
              </w:rPr>
            </w:pPr>
          </w:p>
        </w:tc>
        <w:tc>
          <w:tcPr>
            <w:tcW w:w="1121" w:type="dxa"/>
          </w:tcPr>
          <w:p w:rsidR="00E92FD4" w:rsidRDefault="00E92FD4" w:rsidP="00A23FB5">
            <w:pPr>
              <w:rPr>
                <w:rFonts w:hint="eastAsia"/>
              </w:rPr>
            </w:pPr>
          </w:p>
        </w:tc>
        <w:tc>
          <w:tcPr>
            <w:tcW w:w="1059" w:type="dxa"/>
          </w:tcPr>
          <w:p w:rsidR="00E92FD4" w:rsidRDefault="00E92FD4" w:rsidP="00A23FB5">
            <w:pPr>
              <w:rPr>
                <w:rFonts w:hint="eastAsia"/>
              </w:rPr>
            </w:pPr>
          </w:p>
        </w:tc>
        <w:tc>
          <w:tcPr>
            <w:tcW w:w="1523" w:type="dxa"/>
          </w:tcPr>
          <w:p w:rsidR="00E92FD4" w:rsidRDefault="00E92FD4" w:rsidP="00A23FB5">
            <w:pPr>
              <w:rPr>
                <w:rFonts w:hint="eastAsia"/>
              </w:rPr>
            </w:pPr>
          </w:p>
        </w:tc>
      </w:tr>
      <w:tr w:rsidR="00E92FD4" w:rsidTr="005567C4">
        <w:trPr>
          <w:trHeight w:val="372"/>
        </w:trPr>
        <w:tc>
          <w:tcPr>
            <w:tcW w:w="1227" w:type="dxa"/>
          </w:tcPr>
          <w:p w:rsidR="00E92FD4" w:rsidRDefault="00E92FD4" w:rsidP="00A23FB5">
            <w:pPr>
              <w:rPr>
                <w:rFonts w:hint="eastAsia"/>
              </w:rPr>
            </w:pPr>
          </w:p>
        </w:tc>
        <w:tc>
          <w:tcPr>
            <w:tcW w:w="1401" w:type="dxa"/>
          </w:tcPr>
          <w:p w:rsidR="00E92FD4" w:rsidRDefault="00E92FD4" w:rsidP="00A23FB5">
            <w:pPr>
              <w:rPr>
                <w:rFonts w:hint="eastAsia"/>
              </w:rPr>
            </w:pPr>
          </w:p>
        </w:tc>
        <w:tc>
          <w:tcPr>
            <w:tcW w:w="2802" w:type="dxa"/>
          </w:tcPr>
          <w:p w:rsidR="00E92FD4" w:rsidRDefault="00E92FD4" w:rsidP="00A23FB5">
            <w:pPr>
              <w:rPr>
                <w:rFonts w:hint="eastAsia"/>
              </w:rPr>
            </w:pPr>
          </w:p>
        </w:tc>
        <w:tc>
          <w:tcPr>
            <w:tcW w:w="1121" w:type="dxa"/>
          </w:tcPr>
          <w:p w:rsidR="00E92FD4" w:rsidRDefault="00E92FD4" w:rsidP="00A23FB5">
            <w:pPr>
              <w:rPr>
                <w:rFonts w:hint="eastAsia"/>
              </w:rPr>
            </w:pPr>
          </w:p>
        </w:tc>
        <w:tc>
          <w:tcPr>
            <w:tcW w:w="1059" w:type="dxa"/>
          </w:tcPr>
          <w:p w:rsidR="00E92FD4" w:rsidRDefault="00E92FD4" w:rsidP="00A23FB5">
            <w:pPr>
              <w:rPr>
                <w:rFonts w:hint="eastAsia"/>
              </w:rPr>
            </w:pPr>
          </w:p>
        </w:tc>
        <w:tc>
          <w:tcPr>
            <w:tcW w:w="1523" w:type="dxa"/>
          </w:tcPr>
          <w:p w:rsidR="00E92FD4" w:rsidRDefault="00E92FD4" w:rsidP="00A23FB5">
            <w:pPr>
              <w:rPr>
                <w:rFonts w:hint="eastAsia"/>
              </w:rPr>
            </w:pPr>
          </w:p>
        </w:tc>
      </w:tr>
    </w:tbl>
    <w:p w:rsidR="00ED4165" w:rsidRDefault="00ED4165" w:rsidP="00E92FD4"/>
    <w:p w:rsidR="00E92FD4" w:rsidRDefault="00E92FD4" w:rsidP="00E92FD4">
      <w:r>
        <w:t xml:space="preserve">*VGM information must be provided by weighing all packages, including pallets, dunnage, securing material etc. </w:t>
      </w:r>
    </w:p>
    <w:p w:rsidR="005567C4" w:rsidRDefault="005567C4" w:rsidP="00A23FB5">
      <w:r>
        <w:t xml:space="preserve">We, the shipper, hereby warrant to Beyond Borders Express Pty Ltd. and affiliates that the information provided in this form is accurate and complete according to the requirement of the International Convention for Safety of life at Sea (SOLAS, link: </w:t>
      </w:r>
      <w:hyperlink r:id="rId7" w:history="1">
        <w:r w:rsidRPr="007C2690">
          <w:rPr>
            <w:rStyle w:val="Hyperlink"/>
          </w:rPr>
          <w:t>http://www.worldshipping.org/industry-issues/safety/SOLAS_CHAPTER_VI_Regulation_2_Paragraphs_4-6.pdf</w:t>
        </w:r>
      </w:hyperlink>
      <w:r>
        <w:t xml:space="preserve">) </w:t>
      </w:r>
    </w:p>
    <w:p w:rsidR="005567C4" w:rsidRDefault="005567C4" w:rsidP="00A23FB5">
      <w:r>
        <w:t xml:space="preserve">We further agree to indemnify and hold Beyond Borders Express harmless from any claims, damages, loses, penalties or expenses resulting from the incompleteness or inaccuracy of the information herein provided. </w:t>
      </w:r>
    </w:p>
    <w:tbl>
      <w:tblPr>
        <w:tblStyle w:val="TableGrid"/>
        <w:tblW w:w="9392" w:type="dxa"/>
        <w:tblLook w:val="04A0" w:firstRow="1" w:lastRow="0" w:firstColumn="1" w:lastColumn="0" w:noHBand="0" w:noVBand="1"/>
      </w:tblPr>
      <w:tblGrid>
        <w:gridCol w:w="4696"/>
        <w:gridCol w:w="4696"/>
      </w:tblGrid>
      <w:tr w:rsidR="005567C4" w:rsidTr="005567C4">
        <w:trPr>
          <w:trHeight w:val="423"/>
        </w:trPr>
        <w:tc>
          <w:tcPr>
            <w:tcW w:w="4696" w:type="dxa"/>
          </w:tcPr>
          <w:p w:rsidR="005567C4" w:rsidRPr="005567C4" w:rsidRDefault="005567C4" w:rsidP="00BA53CD">
            <w:pPr>
              <w:rPr>
                <w:rFonts w:hint="eastAsia"/>
                <w:b/>
              </w:rPr>
            </w:pPr>
            <w:r w:rsidRPr="005567C4">
              <w:rPr>
                <w:b/>
              </w:rPr>
              <w:t xml:space="preserve">Shipper’s Company Name (as shown on B/L) </w:t>
            </w:r>
          </w:p>
        </w:tc>
        <w:tc>
          <w:tcPr>
            <w:tcW w:w="4696" w:type="dxa"/>
          </w:tcPr>
          <w:p w:rsidR="005567C4" w:rsidRDefault="005567C4" w:rsidP="00BA53CD">
            <w:pPr>
              <w:rPr>
                <w:rFonts w:hint="eastAsia"/>
              </w:rPr>
            </w:pPr>
          </w:p>
        </w:tc>
      </w:tr>
      <w:tr w:rsidR="005567C4" w:rsidTr="005567C4">
        <w:trPr>
          <w:trHeight w:val="400"/>
        </w:trPr>
        <w:tc>
          <w:tcPr>
            <w:tcW w:w="4696" w:type="dxa"/>
          </w:tcPr>
          <w:p w:rsidR="005567C4" w:rsidRPr="005567C4" w:rsidRDefault="005567C4" w:rsidP="00BA53CD">
            <w:pPr>
              <w:rPr>
                <w:rFonts w:hint="eastAsia"/>
                <w:b/>
              </w:rPr>
            </w:pPr>
            <w:r w:rsidRPr="005567C4">
              <w:rPr>
                <w:b/>
              </w:rPr>
              <w:t xml:space="preserve">Shipper’s ABN </w:t>
            </w:r>
          </w:p>
        </w:tc>
        <w:tc>
          <w:tcPr>
            <w:tcW w:w="4696" w:type="dxa"/>
          </w:tcPr>
          <w:p w:rsidR="005567C4" w:rsidRDefault="005567C4" w:rsidP="00BA53CD">
            <w:pPr>
              <w:rPr>
                <w:rFonts w:hint="eastAsia"/>
              </w:rPr>
            </w:pPr>
          </w:p>
        </w:tc>
      </w:tr>
      <w:tr w:rsidR="005567C4" w:rsidTr="005567C4">
        <w:trPr>
          <w:trHeight w:val="423"/>
        </w:trPr>
        <w:tc>
          <w:tcPr>
            <w:tcW w:w="4696" w:type="dxa"/>
          </w:tcPr>
          <w:p w:rsidR="005567C4" w:rsidRPr="005567C4" w:rsidRDefault="005567C4" w:rsidP="00BA53CD">
            <w:pPr>
              <w:rPr>
                <w:rFonts w:hint="eastAsia"/>
                <w:b/>
              </w:rPr>
            </w:pPr>
            <w:r w:rsidRPr="005567C4">
              <w:rPr>
                <w:b/>
              </w:rPr>
              <w:t xml:space="preserve">Authority Person’s name print (In CAPITALS) </w:t>
            </w:r>
          </w:p>
        </w:tc>
        <w:tc>
          <w:tcPr>
            <w:tcW w:w="4696" w:type="dxa"/>
          </w:tcPr>
          <w:p w:rsidR="005567C4" w:rsidRDefault="005567C4" w:rsidP="00BA53CD">
            <w:pPr>
              <w:rPr>
                <w:rFonts w:hint="eastAsia"/>
              </w:rPr>
            </w:pPr>
          </w:p>
        </w:tc>
      </w:tr>
      <w:tr w:rsidR="005567C4" w:rsidTr="005567C4">
        <w:trPr>
          <w:trHeight w:val="400"/>
        </w:trPr>
        <w:tc>
          <w:tcPr>
            <w:tcW w:w="4696" w:type="dxa"/>
          </w:tcPr>
          <w:p w:rsidR="005567C4" w:rsidRPr="005567C4" w:rsidRDefault="005567C4" w:rsidP="00BA53CD">
            <w:pPr>
              <w:rPr>
                <w:rFonts w:hint="eastAsia"/>
                <w:b/>
              </w:rPr>
            </w:pPr>
            <w:r w:rsidRPr="005567C4">
              <w:rPr>
                <w:b/>
              </w:rPr>
              <w:t xml:space="preserve">Signature </w:t>
            </w:r>
          </w:p>
        </w:tc>
        <w:tc>
          <w:tcPr>
            <w:tcW w:w="4696" w:type="dxa"/>
          </w:tcPr>
          <w:p w:rsidR="005567C4" w:rsidRDefault="005567C4" w:rsidP="00BA53CD">
            <w:pPr>
              <w:rPr>
                <w:rFonts w:hint="eastAsia"/>
              </w:rPr>
            </w:pPr>
          </w:p>
        </w:tc>
      </w:tr>
      <w:tr w:rsidR="005567C4" w:rsidTr="005567C4">
        <w:trPr>
          <w:trHeight w:val="423"/>
        </w:trPr>
        <w:tc>
          <w:tcPr>
            <w:tcW w:w="4696" w:type="dxa"/>
          </w:tcPr>
          <w:p w:rsidR="005567C4" w:rsidRPr="005567C4" w:rsidRDefault="005567C4" w:rsidP="00BA53CD">
            <w:pPr>
              <w:rPr>
                <w:rFonts w:hint="eastAsia"/>
                <w:b/>
              </w:rPr>
            </w:pPr>
            <w:r w:rsidRPr="005567C4">
              <w:rPr>
                <w:b/>
              </w:rPr>
              <w:t xml:space="preserve">Date </w:t>
            </w:r>
          </w:p>
        </w:tc>
        <w:tc>
          <w:tcPr>
            <w:tcW w:w="4696" w:type="dxa"/>
          </w:tcPr>
          <w:p w:rsidR="005567C4" w:rsidRDefault="005567C4" w:rsidP="00BA53CD">
            <w:pPr>
              <w:rPr>
                <w:rFonts w:hint="eastAsia"/>
              </w:rPr>
            </w:pPr>
          </w:p>
        </w:tc>
      </w:tr>
    </w:tbl>
    <w:p w:rsidR="005567C4" w:rsidRDefault="005567C4" w:rsidP="00A23FB5">
      <w:pPr>
        <w:rPr>
          <w:rFonts w:hint="eastAsia"/>
        </w:rPr>
      </w:pPr>
      <w:bookmarkStart w:id="0" w:name="_GoBack"/>
      <w:bookmarkEnd w:id="0"/>
    </w:p>
    <w:sectPr w:rsidR="005567C4" w:rsidSect="006417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8A" w:rsidRDefault="00090B8A" w:rsidP="00751F86">
      <w:pPr>
        <w:spacing w:after="0" w:line="240" w:lineRule="auto"/>
      </w:pPr>
      <w:r>
        <w:separator/>
      </w:r>
    </w:p>
  </w:endnote>
  <w:endnote w:type="continuationSeparator" w:id="0">
    <w:p w:rsidR="00090B8A" w:rsidRDefault="00090B8A" w:rsidP="0075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6A" w:rsidRDefault="0032496A" w:rsidP="0032496A">
    <w:pPr>
      <w:pBdr>
        <w:bottom w:val="single" w:sz="6" w:space="1" w:color="auto"/>
      </w:pBdr>
      <w:jc w:val="center"/>
      <w:rPr>
        <w:rFonts w:ascii="Cambria" w:hAnsi="Cambria"/>
        <w:color w:val="17365D"/>
        <w:sz w:val="20"/>
        <w:szCs w:val="20"/>
      </w:rPr>
    </w:pPr>
  </w:p>
  <w:p w:rsidR="0019620C" w:rsidRDefault="00751F86" w:rsidP="0019620C">
    <w:pPr>
      <w:jc w:val="center"/>
      <w:rPr>
        <w:rFonts w:ascii="Cambria" w:hAnsi="Cambria"/>
        <w:color w:val="17365D"/>
        <w:sz w:val="20"/>
        <w:szCs w:val="20"/>
      </w:rPr>
    </w:pPr>
    <w:r>
      <w:rPr>
        <w:rFonts w:ascii="Cambria" w:hAnsi="Cambria"/>
        <w:color w:val="17365D"/>
        <w:sz w:val="20"/>
        <w:szCs w:val="20"/>
      </w:rPr>
      <w:t>Beyond Borders Express</w:t>
    </w:r>
    <w:r w:rsidR="0019620C">
      <w:rPr>
        <w:rFonts w:ascii="Cambria" w:hAnsi="Cambria" w:hint="eastAsia"/>
        <w:color w:val="17365D"/>
        <w:sz w:val="20"/>
        <w:szCs w:val="20"/>
      </w:rPr>
      <w:t xml:space="preserve"> Pty Ltd.</w:t>
    </w:r>
  </w:p>
  <w:p w:rsidR="00751F86" w:rsidRPr="0019620C" w:rsidRDefault="0019620C" w:rsidP="0019620C">
    <w:pPr>
      <w:jc w:val="center"/>
      <w:rPr>
        <w:rFonts w:ascii="Cambria" w:hAnsi="Cambria"/>
        <w:color w:val="17365D"/>
        <w:sz w:val="20"/>
        <w:szCs w:val="20"/>
      </w:rPr>
    </w:pPr>
    <w:r>
      <w:rPr>
        <w:rFonts w:ascii="Cambria" w:hAnsi="Cambria"/>
        <w:i/>
        <w:iCs/>
        <w:color w:val="17365D"/>
        <w:sz w:val="20"/>
        <w:szCs w:val="20"/>
      </w:rPr>
      <w:t>Cross Borders, Go Beyond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8A" w:rsidRDefault="00090B8A" w:rsidP="00751F86">
      <w:pPr>
        <w:spacing w:after="0" w:line="240" w:lineRule="auto"/>
      </w:pPr>
      <w:r>
        <w:separator/>
      </w:r>
    </w:p>
  </w:footnote>
  <w:footnote w:type="continuationSeparator" w:id="0">
    <w:p w:rsidR="00090B8A" w:rsidRDefault="00090B8A" w:rsidP="00751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86" w:rsidRDefault="00751F86">
    <w:pPr>
      <w:pStyle w:val="Header"/>
    </w:pPr>
    <w:r w:rsidRPr="00751F86">
      <w:rPr>
        <w:noProof/>
        <w:lang w:eastAsia="en-AU"/>
      </w:rPr>
      <w:drawing>
        <wp:inline distT="0" distB="0" distL="0" distR="0">
          <wp:extent cx="5731510" cy="1314696"/>
          <wp:effectExtent l="19050" t="0" r="2540" b="0"/>
          <wp:docPr id="2" name="Picture 2" descr="CompanyLogo"/>
          <wp:cNvGraphicFramePr/>
          <a:graphic xmlns:a="http://schemas.openxmlformats.org/drawingml/2006/main">
            <a:graphicData uri="http://schemas.openxmlformats.org/drawingml/2006/picture">
              <pic:pic xmlns:pic="http://schemas.openxmlformats.org/drawingml/2006/picture">
                <pic:nvPicPr>
                  <pic:cNvPr id="1025" name="CompanyLogo" descr="CompanyLogo"/>
                  <pic:cNvPicPr>
                    <a:picLocks noChangeAspect="1" noChangeArrowheads="1"/>
                  </pic:cNvPicPr>
                </pic:nvPicPr>
                <pic:blipFill>
                  <a:blip r:embed="rId1"/>
                  <a:srcRect/>
                  <a:stretch>
                    <a:fillRect/>
                  </a:stretch>
                </pic:blipFill>
                <pic:spPr bwMode="auto">
                  <a:xfrm>
                    <a:off x="0" y="0"/>
                    <a:ext cx="5731510" cy="13146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72A4"/>
    <w:multiLevelType w:val="hybridMultilevel"/>
    <w:tmpl w:val="362E116A"/>
    <w:lvl w:ilvl="0" w:tplc="0F6E2B0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65"/>
    <w:rsid w:val="00090B8A"/>
    <w:rsid w:val="000B10F1"/>
    <w:rsid w:val="0019620C"/>
    <w:rsid w:val="002276F5"/>
    <w:rsid w:val="002C73A4"/>
    <w:rsid w:val="00317A9E"/>
    <w:rsid w:val="0032496A"/>
    <w:rsid w:val="003831D0"/>
    <w:rsid w:val="00435865"/>
    <w:rsid w:val="004C1E4C"/>
    <w:rsid w:val="005567C4"/>
    <w:rsid w:val="00557789"/>
    <w:rsid w:val="00570D42"/>
    <w:rsid w:val="006417C5"/>
    <w:rsid w:val="00650794"/>
    <w:rsid w:val="00665966"/>
    <w:rsid w:val="006E0B62"/>
    <w:rsid w:val="00751F86"/>
    <w:rsid w:val="00773261"/>
    <w:rsid w:val="008B2324"/>
    <w:rsid w:val="008C5667"/>
    <w:rsid w:val="00902002"/>
    <w:rsid w:val="00A23FB5"/>
    <w:rsid w:val="00A742DF"/>
    <w:rsid w:val="00BF04FD"/>
    <w:rsid w:val="00C122FB"/>
    <w:rsid w:val="00C20CE5"/>
    <w:rsid w:val="00C850AD"/>
    <w:rsid w:val="00D47BDD"/>
    <w:rsid w:val="00DA6BE4"/>
    <w:rsid w:val="00E92FD4"/>
    <w:rsid w:val="00E932DC"/>
    <w:rsid w:val="00E95CEF"/>
    <w:rsid w:val="00ED4165"/>
    <w:rsid w:val="00F32B25"/>
    <w:rsid w:val="00F41AC8"/>
    <w:rsid w:val="00F65F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AC0A"/>
  <w15:docId w15:val="{D3ACBA25-CE2B-4975-B428-BC2D16B3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86"/>
    <w:rPr>
      <w:rFonts w:ascii="Tahoma" w:hAnsi="Tahoma" w:cs="Tahoma"/>
      <w:sz w:val="16"/>
      <w:szCs w:val="16"/>
    </w:rPr>
  </w:style>
  <w:style w:type="paragraph" w:styleId="Header">
    <w:name w:val="header"/>
    <w:basedOn w:val="Normal"/>
    <w:link w:val="HeaderChar"/>
    <w:uiPriority w:val="99"/>
    <w:unhideWhenUsed/>
    <w:rsid w:val="00751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F86"/>
  </w:style>
  <w:style w:type="paragraph" w:styleId="Footer">
    <w:name w:val="footer"/>
    <w:basedOn w:val="Normal"/>
    <w:link w:val="FooterChar"/>
    <w:uiPriority w:val="99"/>
    <w:semiHidden/>
    <w:unhideWhenUsed/>
    <w:rsid w:val="00751F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1F86"/>
  </w:style>
  <w:style w:type="character" w:styleId="Hyperlink">
    <w:name w:val="Hyperlink"/>
    <w:basedOn w:val="DefaultParagraphFont"/>
    <w:uiPriority w:val="99"/>
    <w:unhideWhenUsed/>
    <w:rsid w:val="0019620C"/>
    <w:rPr>
      <w:color w:val="0000FF"/>
      <w:u w:val="single"/>
    </w:rPr>
  </w:style>
  <w:style w:type="character" w:styleId="Emphasis">
    <w:name w:val="Emphasis"/>
    <w:basedOn w:val="DefaultParagraphFont"/>
    <w:uiPriority w:val="20"/>
    <w:qFormat/>
    <w:rsid w:val="00773261"/>
    <w:rPr>
      <w:i/>
      <w:iCs/>
    </w:rPr>
  </w:style>
  <w:style w:type="character" w:customStyle="1" w:styleId="st">
    <w:name w:val="st"/>
    <w:basedOn w:val="DefaultParagraphFont"/>
    <w:rsid w:val="00902002"/>
  </w:style>
  <w:style w:type="table" w:styleId="TableGrid">
    <w:name w:val="Table Grid"/>
    <w:basedOn w:val="TableNormal"/>
    <w:uiPriority w:val="59"/>
    <w:rsid w:val="00E9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531">
      <w:bodyDiv w:val="1"/>
      <w:marLeft w:val="0"/>
      <w:marRight w:val="0"/>
      <w:marTop w:val="0"/>
      <w:marBottom w:val="0"/>
      <w:divBdr>
        <w:top w:val="none" w:sz="0" w:space="0" w:color="auto"/>
        <w:left w:val="none" w:sz="0" w:space="0" w:color="auto"/>
        <w:bottom w:val="none" w:sz="0" w:space="0" w:color="auto"/>
        <w:right w:val="none" w:sz="0" w:space="0" w:color="auto"/>
      </w:divBdr>
    </w:div>
    <w:div w:id="634795511">
      <w:bodyDiv w:val="1"/>
      <w:marLeft w:val="0"/>
      <w:marRight w:val="0"/>
      <w:marTop w:val="0"/>
      <w:marBottom w:val="0"/>
      <w:divBdr>
        <w:top w:val="none" w:sz="0" w:space="0" w:color="auto"/>
        <w:left w:val="none" w:sz="0" w:space="0" w:color="auto"/>
        <w:bottom w:val="none" w:sz="0" w:space="0" w:color="auto"/>
        <w:right w:val="none" w:sz="0" w:space="0" w:color="auto"/>
      </w:divBdr>
    </w:div>
    <w:div w:id="1218511068">
      <w:bodyDiv w:val="1"/>
      <w:marLeft w:val="0"/>
      <w:marRight w:val="0"/>
      <w:marTop w:val="0"/>
      <w:marBottom w:val="0"/>
      <w:divBdr>
        <w:top w:val="none" w:sz="0" w:space="0" w:color="auto"/>
        <w:left w:val="none" w:sz="0" w:space="0" w:color="auto"/>
        <w:bottom w:val="none" w:sz="0" w:space="0" w:color="auto"/>
        <w:right w:val="none" w:sz="0" w:space="0" w:color="auto"/>
      </w:divBdr>
    </w:div>
    <w:div w:id="1375732757">
      <w:bodyDiv w:val="1"/>
      <w:marLeft w:val="0"/>
      <w:marRight w:val="0"/>
      <w:marTop w:val="0"/>
      <w:marBottom w:val="0"/>
      <w:divBdr>
        <w:top w:val="none" w:sz="0" w:space="0" w:color="auto"/>
        <w:left w:val="none" w:sz="0" w:space="0" w:color="auto"/>
        <w:bottom w:val="none" w:sz="0" w:space="0" w:color="auto"/>
        <w:right w:val="none" w:sz="0" w:space="0" w:color="auto"/>
      </w:divBdr>
    </w:div>
    <w:div w:id="15800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shipping.org/industry-issues/safety/SOLAS_CHAPTER_VI_Regulation_2_Paragraphs_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 feng</dc:creator>
  <cp:lastModifiedBy>BBE</cp:lastModifiedBy>
  <cp:revision>2</cp:revision>
  <cp:lastPrinted>2015-10-13T04:08:00Z</cp:lastPrinted>
  <dcterms:created xsi:type="dcterms:W3CDTF">2016-10-18T01:15:00Z</dcterms:created>
  <dcterms:modified xsi:type="dcterms:W3CDTF">2016-10-18T01:15:00Z</dcterms:modified>
</cp:coreProperties>
</file>